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39109" w14:textId="3C8DEC0C" w:rsidR="008D5A77" w:rsidRPr="00F2441B" w:rsidRDefault="00F2441B" w:rsidP="00F2441B">
      <w:pPr>
        <w:pStyle w:val="Heading1"/>
        <w:pBdr>
          <w:bottom w:val="none" w:sz="0" w:space="0" w:color="auto"/>
        </w:pBdr>
        <w:spacing w:before="0" w:after="0" w:line="276" w:lineRule="auto"/>
        <w:jc w:val="center"/>
        <w:rPr>
          <w:rFonts w:ascii="Roboto" w:eastAsia="Calibri Light" w:hAnsi="Roboto" w:cs="Calibri Light"/>
          <w:color w:val="2F5496"/>
          <w:sz w:val="28"/>
          <w:szCs w:val="28"/>
        </w:rPr>
      </w:pPr>
      <w:r>
        <w:rPr>
          <w:rFonts w:ascii="Roboto" w:hAnsi="Roboto"/>
          <w:color w:val="2F5496"/>
          <w:sz w:val="28"/>
        </w:rPr>
        <w:t>POLITIQUE SUR LA PROPRIÉTÉ INTELLECTUELLE</w:t>
      </w:r>
    </w:p>
    <w:p w14:paraId="0DCB2DFE" w14:textId="77777777" w:rsidR="008D5A77" w:rsidRDefault="008D5A77" w:rsidP="008D5A77">
      <w:pPr>
        <w:spacing w:after="0" w:line="240" w:lineRule="auto"/>
        <w:jc w:val="both"/>
        <w:rPr>
          <w:rFonts w:ascii="Roboto" w:eastAsia="Calibri" w:hAnsi="Roboto" w:cs="Calibri"/>
          <w:lang w:eastAsia="en-US"/>
        </w:rPr>
      </w:pPr>
    </w:p>
    <w:p w14:paraId="3685294C" w14:textId="4B1D04A8" w:rsidR="000A57C5" w:rsidRPr="000A57C5" w:rsidRDefault="000A57C5" w:rsidP="008D5A77">
      <w:pPr>
        <w:spacing w:after="0" w:line="240" w:lineRule="auto"/>
        <w:jc w:val="both"/>
        <w:rPr>
          <w:rFonts w:ascii="Roboto" w:eastAsia="Calibri" w:hAnsi="Roboto" w:cs="Calibri"/>
        </w:rPr>
      </w:pPr>
      <w:r>
        <w:rPr>
          <w:rFonts w:ascii="Roboto" w:hAnsi="Roboto"/>
        </w:rPr>
        <w:t xml:space="preserve">L’objectif de Mitacs est de </w:t>
      </w:r>
      <w:r w:rsidR="00454BBA">
        <w:rPr>
          <w:rFonts w:ascii="Roboto" w:hAnsi="Roboto"/>
        </w:rPr>
        <w:t>favoriser</w:t>
      </w:r>
      <w:r>
        <w:rPr>
          <w:rFonts w:ascii="Roboto" w:hAnsi="Roboto"/>
        </w:rPr>
        <w:t xml:space="preserve"> l’innovation canadienne grâce à des partenariats qui </w:t>
      </w:r>
      <w:r w:rsidR="00454BBA">
        <w:rPr>
          <w:rFonts w:ascii="Roboto" w:hAnsi="Roboto"/>
        </w:rPr>
        <w:t>stimulent</w:t>
      </w:r>
      <w:r>
        <w:rPr>
          <w:rFonts w:ascii="Roboto" w:hAnsi="Roboto"/>
        </w:rPr>
        <w:t xml:space="preserve"> la croissance économique, la productivité et des changements importants pour améliorer la </w:t>
      </w:r>
      <w:r w:rsidR="0026304F">
        <w:rPr>
          <w:rFonts w:ascii="Roboto" w:hAnsi="Roboto"/>
        </w:rPr>
        <w:t xml:space="preserve">qualité de </w:t>
      </w:r>
      <w:r>
        <w:rPr>
          <w:rFonts w:ascii="Roboto" w:hAnsi="Roboto"/>
        </w:rPr>
        <w:t xml:space="preserve">vie de la population canadienne. </w:t>
      </w:r>
      <w:r w:rsidR="0026304F">
        <w:rPr>
          <w:rFonts w:ascii="Roboto" w:hAnsi="Roboto"/>
        </w:rPr>
        <w:t>Par cons</w:t>
      </w:r>
      <w:r w:rsidR="004151C4">
        <w:rPr>
          <w:rFonts w:ascii="Roboto" w:hAnsi="Roboto"/>
        </w:rPr>
        <w:t>équent</w:t>
      </w:r>
      <w:r>
        <w:rPr>
          <w:rFonts w:ascii="Roboto" w:hAnsi="Roboto"/>
        </w:rPr>
        <w:t>, la position de Mitacs à l’égard de la propriété intellectuelle (PI) repose sur les objectifs suivants :</w:t>
      </w:r>
    </w:p>
    <w:p w14:paraId="2D8E0FCB" w14:textId="54EA4024" w:rsidR="000A57C5" w:rsidRPr="000A57C5" w:rsidRDefault="00556FD0" w:rsidP="008D5A7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Roboto" w:eastAsia="Calibri" w:hAnsi="Roboto" w:cs="Calibri"/>
        </w:rPr>
      </w:pPr>
      <w:r>
        <w:rPr>
          <w:rFonts w:ascii="Roboto" w:hAnsi="Roboto"/>
        </w:rPr>
        <w:t>Éviter</w:t>
      </w:r>
      <w:r w:rsidR="000A57C5">
        <w:rPr>
          <w:rFonts w:ascii="Roboto" w:hAnsi="Roboto"/>
        </w:rPr>
        <w:t xml:space="preserve"> de créer des obstacles liés à la </w:t>
      </w:r>
      <w:r w:rsidR="00454BBA">
        <w:rPr>
          <w:rFonts w:ascii="Roboto" w:hAnsi="Roboto"/>
        </w:rPr>
        <w:t>PI</w:t>
      </w:r>
      <w:r w:rsidR="000A57C5">
        <w:rPr>
          <w:rFonts w:ascii="Roboto" w:hAnsi="Roboto"/>
        </w:rPr>
        <w:t xml:space="preserve"> </w:t>
      </w:r>
      <w:r w:rsidR="003B14BD">
        <w:rPr>
          <w:rFonts w:ascii="Roboto" w:hAnsi="Roboto"/>
        </w:rPr>
        <w:t xml:space="preserve">pouvant entraver des </w:t>
      </w:r>
      <w:r w:rsidR="000A57C5">
        <w:rPr>
          <w:rFonts w:ascii="Roboto" w:hAnsi="Roboto"/>
        </w:rPr>
        <w:t>partenariats bénéfiques entre le secteur privé et celui de l’enseignement postsecondaire</w:t>
      </w:r>
      <w:r>
        <w:rPr>
          <w:rFonts w:ascii="Roboto" w:hAnsi="Roboto"/>
        </w:rPr>
        <w:t>.</w:t>
      </w:r>
    </w:p>
    <w:p w14:paraId="3E00A7A7" w14:textId="04DFE405" w:rsidR="000A57C5" w:rsidRPr="000A57C5" w:rsidRDefault="00556FD0" w:rsidP="008D5A7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Roboto" w:eastAsiaTheme="minorHAnsi" w:hAnsi="Roboto" w:cstheme="minorBidi"/>
        </w:rPr>
      </w:pPr>
      <w:r>
        <w:rPr>
          <w:rFonts w:ascii="Roboto" w:hAnsi="Roboto"/>
        </w:rPr>
        <w:t>V</w:t>
      </w:r>
      <w:r w:rsidR="000A57C5">
        <w:rPr>
          <w:rFonts w:ascii="Roboto" w:hAnsi="Roboto"/>
        </w:rPr>
        <w:t>eiller à ce que les avantages découlant des activités financées profitent au Canada et à sa population.</w:t>
      </w:r>
    </w:p>
    <w:p w14:paraId="3A2C8164" w14:textId="77777777" w:rsidR="000A57C5" w:rsidRPr="000A57C5" w:rsidRDefault="000A57C5" w:rsidP="008D5A77">
      <w:pPr>
        <w:spacing w:after="0" w:line="240" w:lineRule="auto"/>
        <w:ind w:left="720"/>
        <w:contextualSpacing/>
        <w:jc w:val="both"/>
        <w:rPr>
          <w:rFonts w:ascii="Roboto" w:eastAsia="Calibri" w:hAnsi="Roboto" w:cs="Calibri"/>
          <w:lang w:eastAsia="en-US"/>
        </w:rPr>
      </w:pPr>
    </w:p>
    <w:p w14:paraId="586CBD5B" w14:textId="0B3BAD08" w:rsidR="000A57C5" w:rsidRPr="000A57C5" w:rsidRDefault="000A57C5" w:rsidP="008D5A77">
      <w:pPr>
        <w:spacing w:after="0" w:line="240" w:lineRule="auto"/>
        <w:jc w:val="both"/>
        <w:rPr>
          <w:rFonts w:ascii="Roboto" w:eastAsia="Calibri" w:hAnsi="Roboto" w:cs="Calibri"/>
        </w:rPr>
      </w:pPr>
      <w:r>
        <w:rPr>
          <w:rFonts w:ascii="Roboto" w:hAnsi="Roboto"/>
        </w:rPr>
        <w:t>En ce qui concerne le premier objectif</w:t>
      </w:r>
      <w:r w:rsidR="00556FD0">
        <w:rPr>
          <w:rFonts w:ascii="Roboto" w:hAnsi="Roboto"/>
        </w:rPr>
        <w:t> </w:t>
      </w:r>
      <w:r>
        <w:rPr>
          <w:rFonts w:ascii="Roboto" w:hAnsi="Roboto"/>
        </w:rPr>
        <w:t xml:space="preserve">: Mitacs et ses bailleurs de fonds ne revendiquent pas la propriété de la PI résultant des activités financées par Mitacs. </w:t>
      </w:r>
      <w:r w:rsidR="00B533A8">
        <w:rPr>
          <w:rFonts w:ascii="Roboto" w:hAnsi="Roboto"/>
        </w:rPr>
        <w:t xml:space="preserve">En outre, </w:t>
      </w:r>
      <w:r>
        <w:rPr>
          <w:rFonts w:ascii="Roboto" w:hAnsi="Roboto"/>
        </w:rPr>
        <w:t xml:space="preserve">Mitacs ne participe pas aux négociations sur la PI entre les établissements d’enseignement postsecondaire et leurs organisations partenaires, et ne </w:t>
      </w:r>
      <w:r w:rsidR="00896E5D">
        <w:rPr>
          <w:rFonts w:ascii="Roboto" w:hAnsi="Roboto"/>
        </w:rPr>
        <w:t>fournit</w:t>
      </w:r>
      <w:r>
        <w:rPr>
          <w:rFonts w:ascii="Roboto" w:hAnsi="Roboto"/>
        </w:rPr>
        <w:t xml:space="preserve"> pas de conseils à ce sujet. Chaque établissement postsecondaire dispose de sa propre politique en matière de PI et peut avoir élaboré sa propre </w:t>
      </w:r>
      <w:r w:rsidR="00484B5F">
        <w:rPr>
          <w:rFonts w:ascii="Roboto" w:hAnsi="Roboto"/>
        </w:rPr>
        <w:t xml:space="preserve">norme </w:t>
      </w:r>
      <w:r w:rsidR="00CA60A0">
        <w:rPr>
          <w:rFonts w:ascii="Roboto" w:hAnsi="Roboto"/>
        </w:rPr>
        <w:t>pour aborder</w:t>
      </w:r>
      <w:r>
        <w:rPr>
          <w:rFonts w:ascii="Roboto" w:hAnsi="Roboto"/>
        </w:rPr>
        <w:t xml:space="preserve"> la PI </w:t>
      </w:r>
      <w:r w:rsidR="00EF7D1F">
        <w:rPr>
          <w:rFonts w:ascii="Roboto" w:hAnsi="Roboto"/>
        </w:rPr>
        <w:t xml:space="preserve">relative aux </w:t>
      </w:r>
      <w:r>
        <w:rPr>
          <w:rFonts w:ascii="Roboto" w:hAnsi="Roboto"/>
        </w:rPr>
        <w:t xml:space="preserve">propositions de financement Mitacs. Les candidates et les candidats aux programmes de Mitacs doivent se renseigner auprès des établissements d’enseignement </w:t>
      </w:r>
      <w:r w:rsidR="00896E5D">
        <w:rPr>
          <w:rFonts w:ascii="Roboto" w:hAnsi="Roboto"/>
        </w:rPr>
        <w:t>au sujet de</w:t>
      </w:r>
      <w:r>
        <w:rPr>
          <w:rFonts w:ascii="Roboto" w:hAnsi="Roboto"/>
        </w:rPr>
        <w:t xml:space="preserve"> leurs politiques et approches, y compris les politiques relatives à la publication des résultats de la recherche, avant de déposer une demande de financement auprès de Mitacs.</w:t>
      </w:r>
    </w:p>
    <w:p w14:paraId="5EA938B4" w14:textId="77777777" w:rsidR="000A57C5" w:rsidRPr="000A57C5" w:rsidRDefault="000A57C5" w:rsidP="008D5A77">
      <w:pPr>
        <w:spacing w:after="0" w:line="240" w:lineRule="auto"/>
        <w:jc w:val="both"/>
        <w:rPr>
          <w:rFonts w:ascii="Roboto" w:eastAsia="Calibri" w:hAnsi="Roboto" w:cs="Calibri"/>
          <w:lang w:eastAsia="en-US"/>
        </w:rPr>
      </w:pPr>
    </w:p>
    <w:p w14:paraId="1CF139C5" w14:textId="1ACEA305" w:rsidR="000A57C5" w:rsidRPr="000A57C5" w:rsidRDefault="000A57C5" w:rsidP="008D5A77">
      <w:pPr>
        <w:spacing w:after="0" w:line="240" w:lineRule="auto"/>
        <w:jc w:val="both"/>
        <w:rPr>
          <w:rFonts w:ascii="Roboto" w:eastAsia="Calibri" w:hAnsi="Roboto" w:cs="Calibri"/>
        </w:rPr>
      </w:pPr>
      <w:r>
        <w:rPr>
          <w:rFonts w:ascii="Roboto" w:hAnsi="Roboto"/>
        </w:rPr>
        <w:t>En ce qui concerne le second objectif</w:t>
      </w:r>
      <w:r w:rsidR="00896E5D">
        <w:rPr>
          <w:rFonts w:ascii="Roboto" w:hAnsi="Roboto"/>
        </w:rPr>
        <w:t> </w:t>
      </w:r>
      <w:r>
        <w:rPr>
          <w:rFonts w:ascii="Roboto" w:hAnsi="Roboto"/>
        </w:rPr>
        <w:t xml:space="preserve">: </w:t>
      </w:r>
      <w:r w:rsidR="00757DA5">
        <w:rPr>
          <w:rFonts w:ascii="Roboto" w:hAnsi="Roboto"/>
        </w:rPr>
        <w:t xml:space="preserve">bien </w:t>
      </w:r>
      <w:r>
        <w:rPr>
          <w:rFonts w:ascii="Roboto" w:hAnsi="Roboto"/>
        </w:rPr>
        <w:t xml:space="preserve">que Mitacs ne participe pas aux négociations sur la PI et ne </w:t>
      </w:r>
      <w:r w:rsidR="00896E5D">
        <w:rPr>
          <w:rFonts w:ascii="Roboto" w:hAnsi="Roboto"/>
        </w:rPr>
        <w:t>fournit</w:t>
      </w:r>
      <w:r>
        <w:rPr>
          <w:rFonts w:ascii="Roboto" w:hAnsi="Roboto"/>
        </w:rPr>
        <w:t xml:space="preserve"> pas de conseils à ce sujet, dans certaines situations, notamment celles  impliqu</w:t>
      </w:r>
      <w:r w:rsidR="00AA62C9">
        <w:rPr>
          <w:rFonts w:ascii="Roboto" w:hAnsi="Roboto"/>
        </w:rPr>
        <w:t>a</w:t>
      </w:r>
      <w:r>
        <w:rPr>
          <w:rFonts w:ascii="Roboto" w:hAnsi="Roboto"/>
        </w:rPr>
        <w:t xml:space="preserve">nt l’élaboration et </w:t>
      </w:r>
      <w:r w:rsidR="00A033C2">
        <w:rPr>
          <w:rFonts w:ascii="Roboto" w:hAnsi="Roboto"/>
        </w:rPr>
        <w:t xml:space="preserve">la cession </w:t>
      </w:r>
      <w:r>
        <w:rPr>
          <w:rFonts w:ascii="Roboto" w:hAnsi="Roboto"/>
        </w:rPr>
        <w:t xml:space="preserve">de la </w:t>
      </w:r>
      <w:r w:rsidR="00896E5D">
        <w:rPr>
          <w:rFonts w:ascii="Roboto" w:hAnsi="Roboto"/>
        </w:rPr>
        <w:t>PI</w:t>
      </w:r>
      <w:r>
        <w:rPr>
          <w:rFonts w:ascii="Roboto" w:hAnsi="Roboto"/>
        </w:rPr>
        <w:t xml:space="preserve"> à des partenaires ou collaborateurs étrangers, Mitacs doit évaluer les avantages </w:t>
      </w:r>
      <w:r w:rsidR="006F2F8F">
        <w:rPr>
          <w:rFonts w:ascii="Roboto" w:hAnsi="Roboto"/>
        </w:rPr>
        <w:t xml:space="preserve">découlant </w:t>
      </w:r>
      <w:r>
        <w:rPr>
          <w:rFonts w:ascii="Roboto" w:hAnsi="Roboto"/>
        </w:rPr>
        <w:t xml:space="preserve">de la </w:t>
      </w:r>
      <w:r w:rsidR="00896E5D">
        <w:rPr>
          <w:rFonts w:ascii="Roboto" w:hAnsi="Roboto"/>
        </w:rPr>
        <w:t>PI</w:t>
      </w:r>
      <w:r>
        <w:rPr>
          <w:rFonts w:ascii="Roboto" w:hAnsi="Roboto"/>
        </w:rPr>
        <w:t xml:space="preserve"> pour le Canada afin d’éclairer la décision de financement. Veuillez consulter le </w:t>
      </w:r>
      <w:hyperlink r:id="rId10" w:history="1">
        <w:r w:rsidRPr="00D235C6">
          <w:rPr>
            <w:rStyle w:val="Hyperlink"/>
            <w:rFonts w:ascii="Roboto" w:hAnsi="Roboto"/>
          </w:rPr>
          <w:t>Plan de sécurité de la recherche Mitacs</w:t>
        </w:r>
      </w:hyperlink>
      <w:r>
        <w:rPr>
          <w:rFonts w:ascii="Roboto" w:hAnsi="Roboto"/>
        </w:rPr>
        <w:t xml:space="preserve"> pour plus d’information. Mitacs se réserve le droit de refuser de financer un projet proposé ou en cours à tout moment pour des raisons de sécurité de la recherche ou d’octroyer un financement conditionnel à la satisfaction d’autres exigences </w:t>
      </w:r>
      <w:r w:rsidR="00DC343F">
        <w:rPr>
          <w:rFonts w:ascii="Roboto" w:hAnsi="Roboto"/>
        </w:rPr>
        <w:t>liées à la</w:t>
      </w:r>
      <w:r>
        <w:rPr>
          <w:rFonts w:ascii="Roboto" w:hAnsi="Roboto"/>
        </w:rPr>
        <w:t xml:space="preserve"> sécurité de la recherche, le cas échéant.</w:t>
      </w:r>
    </w:p>
    <w:p w14:paraId="49FFDBFF" w14:textId="77777777" w:rsidR="00121915" w:rsidRPr="000A57C5" w:rsidRDefault="00121915" w:rsidP="008D5A77">
      <w:pPr>
        <w:spacing w:after="0"/>
        <w:jc w:val="both"/>
        <w:rPr>
          <w:rFonts w:ascii="Roboto" w:hAnsi="Roboto"/>
        </w:rPr>
      </w:pPr>
    </w:p>
    <w:sectPr w:rsidR="00121915" w:rsidRPr="000A57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288D7" w14:textId="77777777" w:rsidR="00534AD7" w:rsidRDefault="00534AD7" w:rsidP="00121915">
      <w:pPr>
        <w:spacing w:after="0" w:line="240" w:lineRule="auto"/>
      </w:pPr>
      <w:r>
        <w:separator/>
      </w:r>
    </w:p>
  </w:endnote>
  <w:endnote w:type="continuationSeparator" w:id="0">
    <w:p w14:paraId="1C078D3B" w14:textId="77777777" w:rsidR="00534AD7" w:rsidRDefault="00534AD7" w:rsidP="00121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E06A" w14:textId="77777777" w:rsidR="00056B15" w:rsidRDefault="00056B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09704" w14:textId="77777777" w:rsidR="00121915" w:rsidRDefault="001219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BC1FC" w14:textId="77777777" w:rsidR="00056B15" w:rsidRDefault="00056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B3039" w14:textId="77777777" w:rsidR="00534AD7" w:rsidRDefault="00534AD7" w:rsidP="00121915">
      <w:pPr>
        <w:spacing w:after="0" w:line="240" w:lineRule="auto"/>
      </w:pPr>
      <w:r>
        <w:separator/>
      </w:r>
    </w:p>
  </w:footnote>
  <w:footnote w:type="continuationSeparator" w:id="0">
    <w:p w14:paraId="06A6E22E" w14:textId="77777777" w:rsidR="00534AD7" w:rsidRDefault="00534AD7" w:rsidP="00121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E522C" w14:textId="77777777" w:rsidR="00056B15" w:rsidRDefault="00056B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CD5C" w14:textId="6139670C" w:rsidR="00121915" w:rsidRDefault="001957FA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2333191" wp14:editId="7A2FA84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819200" cy="10119600"/>
          <wp:effectExtent l="0" t="0" r="4445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9200" cy="101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1F2F" w14:textId="77777777" w:rsidR="00056B15" w:rsidRDefault="00056B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EC2"/>
    <w:multiLevelType w:val="hybridMultilevel"/>
    <w:tmpl w:val="9DC4D0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A402A"/>
    <w:multiLevelType w:val="hybridMultilevel"/>
    <w:tmpl w:val="AF76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81115"/>
    <w:multiLevelType w:val="hybridMultilevel"/>
    <w:tmpl w:val="EBCC9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C0E3C"/>
    <w:multiLevelType w:val="hybridMultilevel"/>
    <w:tmpl w:val="058AFB4A"/>
    <w:lvl w:ilvl="0" w:tplc="41164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6204270">
    <w:abstractNumId w:val="3"/>
  </w:num>
  <w:num w:numId="2" w16cid:durableId="1201236671">
    <w:abstractNumId w:val="3"/>
  </w:num>
  <w:num w:numId="3" w16cid:durableId="509024002">
    <w:abstractNumId w:val="0"/>
  </w:num>
  <w:num w:numId="4" w16cid:durableId="751509977">
    <w:abstractNumId w:val="1"/>
  </w:num>
  <w:num w:numId="5" w16cid:durableId="1054158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15"/>
    <w:rsid w:val="00002CD8"/>
    <w:rsid w:val="000130B4"/>
    <w:rsid w:val="0001618F"/>
    <w:rsid w:val="00024B69"/>
    <w:rsid w:val="0002526B"/>
    <w:rsid w:val="00026B83"/>
    <w:rsid w:val="00046CC3"/>
    <w:rsid w:val="000515B4"/>
    <w:rsid w:val="00056B15"/>
    <w:rsid w:val="000767B5"/>
    <w:rsid w:val="00077B22"/>
    <w:rsid w:val="00077EC8"/>
    <w:rsid w:val="00080324"/>
    <w:rsid w:val="00082F94"/>
    <w:rsid w:val="0009306A"/>
    <w:rsid w:val="00093275"/>
    <w:rsid w:val="000A50C7"/>
    <w:rsid w:val="000A57C5"/>
    <w:rsid w:val="000B74F0"/>
    <w:rsid w:val="000C7451"/>
    <w:rsid w:val="000D7004"/>
    <w:rsid w:val="000F457B"/>
    <w:rsid w:val="00121915"/>
    <w:rsid w:val="001628D9"/>
    <w:rsid w:val="00170237"/>
    <w:rsid w:val="001717EB"/>
    <w:rsid w:val="001758B9"/>
    <w:rsid w:val="00176EB2"/>
    <w:rsid w:val="00194DE7"/>
    <w:rsid w:val="001957FA"/>
    <w:rsid w:val="001C4C5B"/>
    <w:rsid w:val="001C7A64"/>
    <w:rsid w:val="001E57FE"/>
    <w:rsid w:val="00207459"/>
    <w:rsid w:val="00217BBF"/>
    <w:rsid w:val="00232CEA"/>
    <w:rsid w:val="00237A1A"/>
    <w:rsid w:val="002461D1"/>
    <w:rsid w:val="002533AE"/>
    <w:rsid w:val="0026304F"/>
    <w:rsid w:val="0027074D"/>
    <w:rsid w:val="002714FD"/>
    <w:rsid w:val="002A0A13"/>
    <w:rsid w:val="002B6AC8"/>
    <w:rsid w:val="002C12C8"/>
    <w:rsid w:val="002D0007"/>
    <w:rsid w:val="002E112C"/>
    <w:rsid w:val="00310059"/>
    <w:rsid w:val="0031585F"/>
    <w:rsid w:val="003159C7"/>
    <w:rsid w:val="00315B3F"/>
    <w:rsid w:val="00334C78"/>
    <w:rsid w:val="00337A55"/>
    <w:rsid w:val="0035002C"/>
    <w:rsid w:val="00370A81"/>
    <w:rsid w:val="003950E4"/>
    <w:rsid w:val="003B14BD"/>
    <w:rsid w:val="003B18A1"/>
    <w:rsid w:val="003B39E1"/>
    <w:rsid w:val="003D3471"/>
    <w:rsid w:val="003E1863"/>
    <w:rsid w:val="00400DA4"/>
    <w:rsid w:val="00406860"/>
    <w:rsid w:val="004151C4"/>
    <w:rsid w:val="00431896"/>
    <w:rsid w:val="00454BBA"/>
    <w:rsid w:val="004736B0"/>
    <w:rsid w:val="00484B5F"/>
    <w:rsid w:val="004A73E3"/>
    <w:rsid w:val="004F58A6"/>
    <w:rsid w:val="00525048"/>
    <w:rsid w:val="00534AD7"/>
    <w:rsid w:val="00556FD0"/>
    <w:rsid w:val="00596046"/>
    <w:rsid w:val="005B6211"/>
    <w:rsid w:val="005E1369"/>
    <w:rsid w:val="005E6B5B"/>
    <w:rsid w:val="005F2C77"/>
    <w:rsid w:val="005F46D3"/>
    <w:rsid w:val="006141E8"/>
    <w:rsid w:val="00617693"/>
    <w:rsid w:val="00627731"/>
    <w:rsid w:val="00646A2E"/>
    <w:rsid w:val="00674BB0"/>
    <w:rsid w:val="00677D38"/>
    <w:rsid w:val="006871ED"/>
    <w:rsid w:val="006A126B"/>
    <w:rsid w:val="006B3092"/>
    <w:rsid w:val="006D5377"/>
    <w:rsid w:val="006F2F8F"/>
    <w:rsid w:val="00707561"/>
    <w:rsid w:val="00713B5E"/>
    <w:rsid w:val="007206D3"/>
    <w:rsid w:val="0072328A"/>
    <w:rsid w:val="00725455"/>
    <w:rsid w:val="007462C9"/>
    <w:rsid w:val="00754A7C"/>
    <w:rsid w:val="00757DA5"/>
    <w:rsid w:val="00774C9B"/>
    <w:rsid w:val="00775BEF"/>
    <w:rsid w:val="00777EA7"/>
    <w:rsid w:val="00784BEA"/>
    <w:rsid w:val="007A56EA"/>
    <w:rsid w:val="007D69E3"/>
    <w:rsid w:val="007E75FB"/>
    <w:rsid w:val="007F4B93"/>
    <w:rsid w:val="007F7E16"/>
    <w:rsid w:val="00820CAE"/>
    <w:rsid w:val="008234E9"/>
    <w:rsid w:val="00826FA9"/>
    <w:rsid w:val="00840BE1"/>
    <w:rsid w:val="00842BA3"/>
    <w:rsid w:val="00850CF2"/>
    <w:rsid w:val="00857AB2"/>
    <w:rsid w:val="0088223A"/>
    <w:rsid w:val="00883C0D"/>
    <w:rsid w:val="00893104"/>
    <w:rsid w:val="00896E5D"/>
    <w:rsid w:val="008C36D8"/>
    <w:rsid w:val="008D5A77"/>
    <w:rsid w:val="008D71A8"/>
    <w:rsid w:val="00902847"/>
    <w:rsid w:val="0090669A"/>
    <w:rsid w:val="009355D1"/>
    <w:rsid w:val="009501D5"/>
    <w:rsid w:val="00953F50"/>
    <w:rsid w:val="009A05DA"/>
    <w:rsid w:val="00A02018"/>
    <w:rsid w:val="00A033C2"/>
    <w:rsid w:val="00A26302"/>
    <w:rsid w:val="00A2707E"/>
    <w:rsid w:val="00A32624"/>
    <w:rsid w:val="00A44FC6"/>
    <w:rsid w:val="00A45F2E"/>
    <w:rsid w:val="00A4652D"/>
    <w:rsid w:val="00AA49BA"/>
    <w:rsid w:val="00AA62C9"/>
    <w:rsid w:val="00AB21FB"/>
    <w:rsid w:val="00AC2127"/>
    <w:rsid w:val="00AE0989"/>
    <w:rsid w:val="00AE35EE"/>
    <w:rsid w:val="00B24B12"/>
    <w:rsid w:val="00B434CB"/>
    <w:rsid w:val="00B45A49"/>
    <w:rsid w:val="00B533A8"/>
    <w:rsid w:val="00B551C4"/>
    <w:rsid w:val="00B63DB9"/>
    <w:rsid w:val="00B70081"/>
    <w:rsid w:val="00B95B5B"/>
    <w:rsid w:val="00BC5DDB"/>
    <w:rsid w:val="00BC6D9D"/>
    <w:rsid w:val="00BE49E5"/>
    <w:rsid w:val="00C3008E"/>
    <w:rsid w:val="00C50BB7"/>
    <w:rsid w:val="00C517AD"/>
    <w:rsid w:val="00C550D2"/>
    <w:rsid w:val="00C6377D"/>
    <w:rsid w:val="00C63788"/>
    <w:rsid w:val="00C71321"/>
    <w:rsid w:val="00C7577E"/>
    <w:rsid w:val="00C82B3F"/>
    <w:rsid w:val="00C93027"/>
    <w:rsid w:val="00C94BD4"/>
    <w:rsid w:val="00CA5C3D"/>
    <w:rsid w:val="00CA60A0"/>
    <w:rsid w:val="00CC252B"/>
    <w:rsid w:val="00D0344A"/>
    <w:rsid w:val="00D04A8F"/>
    <w:rsid w:val="00D235C6"/>
    <w:rsid w:val="00D3158F"/>
    <w:rsid w:val="00D65F6F"/>
    <w:rsid w:val="00D7110B"/>
    <w:rsid w:val="00D9790C"/>
    <w:rsid w:val="00D97AE7"/>
    <w:rsid w:val="00DA4223"/>
    <w:rsid w:val="00DC03B7"/>
    <w:rsid w:val="00DC343F"/>
    <w:rsid w:val="00DD5403"/>
    <w:rsid w:val="00DF1E21"/>
    <w:rsid w:val="00E04960"/>
    <w:rsid w:val="00E6116D"/>
    <w:rsid w:val="00E70E83"/>
    <w:rsid w:val="00E90C0C"/>
    <w:rsid w:val="00E91F0C"/>
    <w:rsid w:val="00EA1686"/>
    <w:rsid w:val="00ED1CF0"/>
    <w:rsid w:val="00EE57D5"/>
    <w:rsid w:val="00EF1861"/>
    <w:rsid w:val="00EF6569"/>
    <w:rsid w:val="00EF6C59"/>
    <w:rsid w:val="00EF7D1F"/>
    <w:rsid w:val="00F10F87"/>
    <w:rsid w:val="00F236BB"/>
    <w:rsid w:val="00F2441B"/>
    <w:rsid w:val="00F24A05"/>
    <w:rsid w:val="00F443C3"/>
    <w:rsid w:val="00F47130"/>
    <w:rsid w:val="00F6300B"/>
    <w:rsid w:val="00FB5B38"/>
    <w:rsid w:val="00FC2FCA"/>
    <w:rsid w:val="00FC58B7"/>
    <w:rsid w:val="00FD4502"/>
    <w:rsid w:val="00FE387E"/>
    <w:rsid w:val="00FE3E3E"/>
    <w:rsid w:val="08EC2B44"/>
    <w:rsid w:val="20BD2A6B"/>
    <w:rsid w:val="24D5BB8D"/>
    <w:rsid w:val="4EC1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841FA7"/>
  <w15:chartTrackingRefBased/>
  <w15:docId w15:val="{1E80DBFB-F3C1-D84C-9271-C97A23B8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Yu Mincho" w:hAnsi="Calibri" w:cs="Times New Roman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18F"/>
    <w:pPr>
      <w:keepNext/>
      <w:keepLines/>
      <w:pBdr>
        <w:bottom w:val="single" w:sz="12" w:space="2" w:color="78BE20"/>
      </w:pBdr>
      <w:spacing w:before="120" w:after="120" w:line="264" w:lineRule="auto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18F"/>
    <w:pPr>
      <w:keepNext/>
      <w:keepLines/>
      <w:pBdr>
        <w:bottom w:val="single" w:sz="8" w:space="1" w:color="auto"/>
      </w:pBdr>
      <w:spacing w:before="120" w:after="120" w:line="264" w:lineRule="auto"/>
      <w:outlineLvl w:val="1"/>
    </w:pPr>
    <w:rPr>
      <w:rFonts w:ascii="Calibri Light" w:eastAsia="Yu Gothic Light" w:hAnsi="Calibri Light"/>
      <w:b/>
      <w:b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1618F"/>
    <w:rPr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01618F"/>
    <w:rPr>
      <w:rFonts w:ascii="Calibri Light" w:eastAsia="Yu Gothic Light" w:hAnsi="Calibri Light" w:cs="Times New Roman"/>
      <w:b/>
      <w:bCs/>
      <w:caps/>
    </w:rPr>
  </w:style>
  <w:style w:type="paragraph" w:styleId="BodyText">
    <w:name w:val="Body Text"/>
    <w:aliases w:val="body text,bt,Text"/>
    <w:basedOn w:val="Normal"/>
    <w:link w:val="BodyTextChar"/>
    <w:uiPriority w:val="1"/>
    <w:qFormat/>
    <w:rsid w:val="0001618F"/>
    <w:pPr>
      <w:spacing w:before="120" w:after="120" w:line="264" w:lineRule="auto"/>
    </w:pPr>
    <w:rPr>
      <w:sz w:val="20"/>
      <w:szCs w:val="20"/>
    </w:rPr>
  </w:style>
  <w:style w:type="character" w:customStyle="1" w:styleId="BodyTextChar">
    <w:name w:val="Body Text Char"/>
    <w:aliases w:val="body text Char,bt Char,Text Char"/>
    <w:link w:val="BodyText"/>
    <w:uiPriority w:val="1"/>
    <w:rsid w:val="0001618F"/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01618F"/>
    <w:pPr>
      <w:tabs>
        <w:tab w:val="left" w:pos="454"/>
        <w:tab w:val="right" w:leader="dot" w:pos="10790"/>
      </w:tabs>
      <w:spacing w:after="60" w:line="264" w:lineRule="auto"/>
    </w:pPr>
    <w:rPr>
      <w:b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01618F"/>
    <w:pPr>
      <w:spacing w:after="40" w:line="264" w:lineRule="auto"/>
      <w:ind w:left="454"/>
    </w:pPr>
    <w:rPr>
      <w:sz w:val="18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01618F"/>
    <w:pPr>
      <w:pBdr>
        <w:bottom w:val="none" w:sz="0" w:space="0" w:color="auto"/>
      </w:pBdr>
      <w:spacing w:before="240" w:after="240" w:line="259" w:lineRule="auto"/>
      <w:outlineLvl w:val="9"/>
    </w:pPr>
    <w:rPr>
      <w:rFonts w:ascii="Calibri Light" w:eastAsia="Yu Gothic Light" w:hAnsi="Calibri Light"/>
      <w:bCs w:val="0"/>
      <w:caps/>
      <w:color w:val="78BE43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01618F"/>
    <w:pPr>
      <w:spacing w:after="0" w:line="264" w:lineRule="auto"/>
      <w:ind w:left="720"/>
      <w:contextualSpacing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21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915"/>
  </w:style>
  <w:style w:type="paragraph" w:styleId="Footer">
    <w:name w:val="footer"/>
    <w:basedOn w:val="Normal"/>
    <w:link w:val="FooterChar"/>
    <w:uiPriority w:val="99"/>
    <w:unhideWhenUsed/>
    <w:rsid w:val="00121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915"/>
  </w:style>
  <w:style w:type="paragraph" w:styleId="NoSpacing">
    <w:name w:val="No Spacing"/>
    <w:link w:val="NoSpacingChar"/>
    <w:uiPriority w:val="1"/>
    <w:qFormat/>
    <w:rsid w:val="00121915"/>
    <w:rPr>
      <w:sz w:val="22"/>
      <w:szCs w:val="22"/>
      <w:lang w:eastAsia="zh-CN"/>
    </w:rPr>
  </w:style>
  <w:style w:type="character" w:customStyle="1" w:styleId="NoSpacingChar">
    <w:name w:val="No Spacing Char"/>
    <w:link w:val="NoSpacing"/>
    <w:uiPriority w:val="1"/>
    <w:rsid w:val="00121915"/>
    <w:rPr>
      <w:lang w:val="fr-CA" w:eastAsia="zh-CN"/>
    </w:rPr>
  </w:style>
  <w:style w:type="paragraph" w:customStyle="1" w:styleId="paragraph">
    <w:name w:val="paragraph"/>
    <w:basedOn w:val="Normal"/>
    <w:rsid w:val="007D69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character" w:customStyle="1" w:styleId="normaltextrun">
    <w:name w:val="normaltextrun"/>
    <w:basedOn w:val="DefaultParagraphFont"/>
    <w:rsid w:val="007D69E3"/>
  </w:style>
  <w:style w:type="character" w:customStyle="1" w:styleId="eop">
    <w:name w:val="eop"/>
    <w:basedOn w:val="DefaultParagraphFont"/>
    <w:rsid w:val="007D69E3"/>
  </w:style>
  <w:style w:type="paragraph" w:styleId="NormalWeb">
    <w:name w:val="Normal (Web)"/>
    <w:basedOn w:val="Normal"/>
    <w:uiPriority w:val="99"/>
    <w:semiHidden/>
    <w:unhideWhenUsed/>
    <w:rsid w:val="00B434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character" w:styleId="Emphasis">
    <w:name w:val="Emphasis"/>
    <w:basedOn w:val="DefaultParagraphFont"/>
    <w:uiPriority w:val="20"/>
    <w:qFormat/>
    <w:rsid w:val="00B434CB"/>
    <w:rPr>
      <w:i/>
      <w:iCs/>
    </w:rPr>
  </w:style>
  <w:style w:type="table" w:styleId="TableGrid">
    <w:name w:val="Table Grid"/>
    <w:basedOn w:val="TableNormal"/>
    <w:uiPriority w:val="39"/>
    <w:rsid w:val="00707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57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57C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57C5"/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F443C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21FB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E5D"/>
    <w:pPr>
      <w:spacing w:after="160"/>
    </w:pPr>
    <w:rPr>
      <w:rFonts w:ascii="Calibri" w:eastAsia="Yu Mincho" w:hAnsi="Calibri" w:cs="Times New Roman"/>
      <w:b/>
      <w:bCs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E5D"/>
    <w:rPr>
      <w:rFonts w:asciiTheme="minorHAnsi" w:eastAsiaTheme="minorHAnsi" w:hAnsiTheme="minorHAnsi" w:cstheme="minorBidi"/>
      <w:b/>
      <w:bCs/>
      <w:lang w:eastAsia="ja-JP"/>
    </w:rPr>
  </w:style>
  <w:style w:type="paragraph" w:styleId="Revision">
    <w:name w:val="Revision"/>
    <w:hidden/>
    <w:uiPriority w:val="99"/>
    <w:semiHidden/>
    <w:rsid w:val="007F7E16"/>
    <w:rPr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mitacs.ca/fr/securite-de-la-recherch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DD7FF052A9D43911B974703FC30DB" ma:contentTypeVersion="13" ma:contentTypeDescription="Create a new document." ma:contentTypeScope="" ma:versionID="8b84ca6eec69d974135e037d1d5f1e8b">
  <xsd:schema xmlns:xsd="http://www.w3.org/2001/XMLSchema" xmlns:xs="http://www.w3.org/2001/XMLSchema" xmlns:p="http://schemas.microsoft.com/office/2006/metadata/properties" xmlns:ns2="064700a4-f439-4444-954c-23df9ab561aa" xmlns:ns3="b74105b9-bc60-41cc-bba9-d642f268fbe8" targetNamespace="http://schemas.microsoft.com/office/2006/metadata/properties" ma:root="true" ma:fieldsID="42c5a818826782e5cc16aec979b6f269" ns2:_="" ns3:_="">
    <xsd:import namespace="064700a4-f439-4444-954c-23df9ab561aa"/>
    <xsd:import namespace="b74105b9-bc60-41cc-bba9-d642f268fb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700a4-f439-4444-954c-23df9ab561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4087440-3523-4496-b5cc-30753195c0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05b9-bc60-41cc-bba9-d642f268fb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e38ea0a-f2d6-4f5c-82af-e916b4375ec1}" ma:internalName="TaxCatchAll" ma:showField="CatchAllData" ma:web="b74105b9-bc60-41cc-bba9-d642f268fb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4700a4-f439-4444-954c-23df9ab561aa">
      <Terms xmlns="http://schemas.microsoft.com/office/infopath/2007/PartnerControls"/>
    </lcf76f155ced4ddcb4097134ff3c332f>
    <TaxCatchAll xmlns="b74105b9-bc60-41cc-bba9-d642f268fb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F3344C-8440-4D76-B43A-575038D2C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4700a4-f439-4444-954c-23df9ab561aa"/>
    <ds:schemaRef ds:uri="b74105b9-bc60-41cc-bba9-d642f268f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5BD21-DC43-4C8E-9088-2D24479DD46E}">
  <ds:schemaRefs>
    <ds:schemaRef ds:uri="http://schemas.microsoft.com/office/2006/metadata/properties"/>
    <ds:schemaRef ds:uri="http://schemas.microsoft.com/office/infopath/2007/PartnerControls"/>
    <ds:schemaRef ds:uri="064700a4-f439-4444-954c-23df9ab561aa"/>
    <ds:schemaRef ds:uri="b74105b9-bc60-41cc-bba9-d642f268fbe8"/>
  </ds:schemaRefs>
</ds:datastoreItem>
</file>

<file path=customXml/itemProps3.xml><?xml version="1.0" encoding="utf-8"?>
<ds:datastoreItem xmlns:ds="http://schemas.openxmlformats.org/officeDocument/2006/customXml" ds:itemID="{F46F8DA4-F468-4592-AA52-53D0F4516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bouy</dc:creator>
  <cp:keywords/>
  <dc:description/>
  <cp:lastModifiedBy>Henry Ling</cp:lastModifiedBy>
  <cp:revision>3</cp:revision>
  <dcterms:created xsi:type="dcterms:W3CDTF">2023-10-13T22:04:00Z</dcterms:created>
  <dcterms:modified xsi:type="dcterms:W3CDTF">2023-10-13T22:05:00Z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0x01010047BDD7FF052A9D43911B974703FC30DB</vt:lpwstr>
  </property>
  <property fmtid="{D5CDD505-2E9C-101B-9397-08002B2CF9AE}" pid="3" name="MediaServiceImageTags">
    <vt:lpwstr/>
  </property>
</Properties>
</file>